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22" w:rsidRPr="00E124B2" w:rsidRDefault="00793522" w:rsidP="0094288A">
      <w:pPr>
        <w:tabs>
          <w:tab w:val="left" w:pos="284"/>
        </w:tabs>
        <w:spacing w:before="80"/>
        <w:ind w:left="-11"/>
        <w:jc w:val="both"/>
        <w:rPr>
          <w:rFonts w:ascii="Arial" w:hAnsi="Arial" w:cs="Arial"/>
          <w:sz w:val="20"/>
          <w:szCs w:val="20"/>
        </w:rPr>
      </w:pPr>
    </w:p>
    <w:p w:rsidR="00793522" w:rsidRPr="00102923" w:rsidRDefault="00793522" w:rsidP="00BC6FD9">
      <w:pPr>
        <w:jc w:val="center"/>
        <w:rPr>
          <w:rFonts w:ascii="Calibri" w:hAnsi="Calibri"/>
          <w:b/>
          <w:sz w:val="32"/>
          <w:szCs w:val="32"/>
        </w:rPr>
      </w:pPr>
      <w:r w:rsidRPr="00102923">
        <w:rPr>
          <w:rFonts w:ascii="Calibri" w:hAnsi="Calibri"/>
          <w:b/>
          <w:sz w:val="32"/>
          <w:szCs w:val="32"/>
        </w:rPr>
        <w:t>L’ORALITE CHEZ L’ENFANT</w:t>
      </w:r>
    </w:p>
    <w:p w:rsidR="00793522" w:rsidRPr="00102923" w:rsidRDefault="00793522" w:rsidP="00BC6FD9">
      <w:pPr>
        <w:jc w:val="center"/>
        <w:rPr>
          <w:rFonts w:ascii="Calibri" w:hAnsi="Calibri"/>
          <w:b/>
          <w:i/>
          <w:sz w:val="26"/>
          <w:szCs w:val="26"/>
        </w:rPr>
      </w:pPr>
      <w:r w:rsidRPr="00102923">
        <w:rPr>
          <w:rFonts w:ascii="Calibri" w:hAnsi="Calibri"/>
          <w:b/>
          <w:i/>
          <w:sz w:val="26"/>
          <w:szCs w:val="26"/>
        </w:rPr>
        <w:t>Elaborer une intervention orthophonique dans le cadre des troubles de l’oralité alimentaire chez l’enfant</w:t>
      </w:r>
    </w:p>
    <w:p w:rsidR="00793522" w:rsidRPr="00102923" w:rsidRDefault="00793522" w:rsidP="00BC6FD9">
      <w:pPr>
        <w:jc w:val="center"/>
        <w:rPr>
          <w:rFonts w:ascii="Calibri" w:hAnsi="Calibri"/>
          <w:b/>
          <w:sz w:val="26"/>
          <w:szCs w:val="26"/>
        </w:rPr>
      </w:pPr>
    </w:p>
    <w:p w:rsidR="00793522" w:rsidRPr="00102923" w:rsidRDefault="00793522" w:rsidP="00BC6FD9">
      <w:pPr>
        <w:pStyle w:val="Default"/>
        <w:jc w:val="center"/>
        <w:rPr>
          <w:b/>
          <w:bCs/>
          <w:sz w:val="26"/>
          <w:szCs w:val="26"/>
        </w:rPr>
      </w:pPr>
      <w:r w:rsidRPr="00102923">
        <w:rPr>
          <w:b/>
          <w:bCs/>
          <w:sz w:val="26"/>
          <w:szCs w:val="26"/>
        </w:rPr>
        <w:t>Par Madame Isabelle BARBIER</w:t>
      </w:r>
      <w:r>
        <w:rPr>
          <w:b/>
          <w:bCs/>
          <w:sz w:val="26"/>
          <w:szCs w:val="26"/>
        </w:rPr>
        <w:t>, Orthophoniste, Maitre de mémoires, Formatrice</w:t>
      </w:r>
    </w:p>
    <w:p w:rsidR="00793522" w:rsidRDefault="00793522" w:rsidP="00BC6FD9">
      <w:pPr>
        <w:pStyle w:val="Default"/>
        <w:jc w:val="center"/>
        <w:rPr>
          <w:sz w:val="23"/>
          <w:szCs w:val="23"/>
        </w:rPr>
      </w:pPr>
    </w:p>
    <w:p w:rsidR="00793522" w:rsidRDefault="00793522" w:rsidP="00BC6FD9">
      <w:pPr>
        <w:pStyle w:val="Default"/>
        <w:jc w:val="center"/>
        <w:rPr>
          <w:sz w:val="23"/>
          <w:szCs w:val="23"/>
        </w:rPr>
      </w:pPr>
    </w:p>
    <w:p w:rsidR="00793522" w:rsidRDefault="00793522" w:rsidP="00BC6FD9">
      <w:pPr>
        <w:pStyle w:val="Default"/>
        <w:jc w:val="center"/>
        <w:rPr>
          <w:sz w:val="23"/>
          <w:szCs w:val="23"/>
        </w:rPr>
      </w:pPr>
    </w:p>
    <w:p w:rsidR="00793522" w:rsidRDefault="00793522" w:rsidP="00BC6FD9">
      <w:pPr>
        <w:pStyle w:val="Default"/>
        <w:rPr>
          <w:b/>
          <w:bCs/>
          <w:i/>
          <w:iCs/>
          <w:sz w:val="28"/>
          <w:szCs w:val="28"/>
        </w:rPr>
      </w:pPr>
      <w:r>
        <w:rPr>
          <w:i/>
          <w:iCs/>
          <w:sz w:val="28"/>
          <w:szCs w:val="28"/>
        </w:rPr>
        <w:t xml:space="preserve">Dates : </w:t>
      </w:r>
      <w:r w:rsidRPr="00BC6FD9">
        <w:rPr>
          <w:b/>
          <w:i/>
          <w:iCs/>
          <w:sz w:val="28"/>
          <w:szCs w:val="28"/>
        </w:rPr>
        <w:t xml:space="preserve">mercredi </w:t>
      </w:r>
      <w:r>
        <w:rPr>
          <w:b/>
          <w:bCs/>
          <w:i/>
          <w:iCs/>
          <w:sz w:val="28"/>
          <w:szCs w:val="28"/>
        </w:rPr>
        <w:t xml:space="preserve"> 1 et jeudi 2 février 2017 </w:t>
      </w:r>
    </w:p>
    <w:p w:rsidR="00793522" w:rsidRDefault="00793522" w:rsidP="00BC6FD9">
      <w:pPr>
        <w:pStyle w:val="Default"/>
        <w:rPr>
          <w:sz w:val="28"/>
          <w:szCs w:val="28"/>
        </w:rPr>
      </w:pPr>
    </w:p>
    <w:p w:rsidR="00793522" w:rsidRDefault="00793522" w:rsidP="00BC6FD9">
      <w:pPr>
        <w:pStyle w:val="Default"/>
        <w:rPr>
          <w:b/>
          <w:bCs/>
          <w:i/>
          <w:iCs/>
          <w:sz w:val="28"/>
          <w:szCs w:val="28"/>
        </w:rPr>
      </w:pPr>
      <w:r>
        <w:rPr>
          <w:i/>
          <w:iCs/>
          <w:sz w:val="28"/>
          <w:szCs w:val="28"/>
        </w:rPr>
        <w:t xml:space="preserve">Durée de la formation : </w:t>
      </w:r>
      <w:r>
        <w:rPr>
          <w:b/>
          <w:bCs/>
          <w:i/>
          <w:iCs/>
          <w:sz w:val="28"/>
          <w:szCs w:val="28"/>
        </w:rPr>
        <w:t xml:space="preserve">2 jours </w:t>
      </w:r>
      <w:r>
        <w:rPr>
          <w:i/>
          <w:iCs/>
          <w:sz w:val="28"/>
          <w:szCs w:val="28"/>
        </w:rPr>
        <w:t xml:space="preserve">soit </w:t>
      </w:r>
      <w:r>
        <w:rPr>
          <w:b/>
          <w:bCs/>
          <w:i/>
          <w:iCs/>
          <w:sz w:val="28"/>
          <w:szCs w:val="28"/>
        </w:rPr>
        <w:t xml:space="preserve">14 heures </w:t>
      </w:r>
    </w:p>
    <w:p w:rsidR="00793522" w:rsidRDefault="00793522" w:rsidP="00BC6FD9">
      <w:pPr>
        <w:pStyle w:val="Default"/>
        <w:rPr>
          <w:sz w:val="28"/>
          <w:szCs w:val="28"/>
        </w:rPr>
      </w:pPr>
    </w:p>
    <w:p w:rsidR="00793522" w:rsidRDefault="00793522" w:rsidP="00BC6FD9">
      <w:pPr>
        <w:pStyle w:val="Default"/>
        <w:rPr>
          <w:b/>
          <w:bCs/>
          <w:i/>
          <w:iCs/>
          <w:sz w:val="28"/>
          <w:szCs w:val="28"/>
        </w:rPr>
      </w:pPr>
      <w:r>
        <w:rPr>
          <w:i/>
          <w:iCs/>
          <w:sz w:val="28"/>
          <w:szCs w:val="28"/>
        </w:rPr>
        <w:t xml:space="preserve">Lieu : </w:t>
      </w:r>
      <w:r>
        <w:rPr>
          <w:b/>
          <w:bCs/>
          <w:i/>
          <w:iCs/>
          <w:sz w:val="28"/>
          <w:szCs w:val="28"/>
        </w:rPr>
        <w:t>Metz (57000)</w:t>
      </w:r>
    </w:p>
    <w:p w:rsidR="00793522" w:rsidRDefault="00793522" w:rsidP="00BC6FD9">
      <w:pPr>
        <w:pStyle w:val="Default"/>
        <w:rPr>
          <w:sz w:val="28"/>
          <w:szCs w:val="28"/>
        </w:rPr>
      </w:pPr>
    </w:p>
    <w:p w:rsidR="00793522" w:rsidRDefault="00793522" w:rsidP="00BC6FD9">
      <w:pPr>
        <w:pStyle w:val="Default"/>
        <w:rPr>
          <w:b/>
          <w:bCs/>
          <w:i/>
          <w:iCs/>
          <w:sz w:val="28"/>
          <w:szCs w:val="28"/>
        </w:rPr>
      </w:pPr>
      <w:r>
        <w:rPr>
          <w:i/>
          <w:iCs/>
          <w:sz w:val="28"/>
          <w:szCs w:val="28"/>
        </w:rPr>
        <w:t xml:space="preserve">Tarif libéral ou salarié : </w:t>
      </w:r>
      <w:r>
        <w:rPr>
          <w:b/>
          <w:bCs/>
          <w:i/>
          <w:iCs/>
          <w:sz w:val="28"/>
          <w:szCs w:val="28"/>
        </w:rPr>
        <w:t xml:space="preserve">320 € </w:t>
      </w:r>
    </w:p>
    <w:p w:rsidR="00793522" w:rsidRDefault="00793522" w:rsidP="00BC6FD9">
      <w:pPr>
        <w:pStyle w:val="Default"/>
        <w:rPr>
          <w:sz w:val="28"/>
          <w:szCs w:val="28"/>
        </w:rPr>
      </w:pPr>
    </w:p>
    <w:p w:rsidR="00793522" w:rsidRDefault="00793522" w:rsidP="00BC6FD9">
      <w:pPr>
        <w:pStyle w:val="Default"/>
        <w:rPr>
          <w:sz w:val="28"/>
          <w:szCs w:val="28"/>
        </w:rPr>
      </w:pPr>
      <w:r>
        <w:rPr>
          <w:b/>
          <w:bCs/>
          <w:i/>
          <w:iCs/>
          <w:sz w:val="28"/>
          <w:szCs w:val="28"/>
        </w:rPr>
        <w:t xml:space="preserve">Programme susceptible d’être éligible à une prise en charge FIF-PL ou DPC </w:t>
      </w:r>
    </w:p>
    <w:p w:rsidR="00793522" w:rsidRDefault="00793522" w:rsidP="00BC6FD9">
      <w:pPr>
        <w:pStyle w:val="Default"/>
        <w:rPr>
          <w:b/>
          <w:bCs/>
          <w:i/>
          <w:iCs/>
          <w:sz w:val="28"/>
          <w:szCs w:val="28"/>
        </w:rPr>
      </w:pPr>
      <w:r>
        <w:rPr>
          <w:b/>
          <w:bCs/>
          <w:i/>
          <w:iCs/>
          <w:sz w:val="28"/>
          <w:szCs w:val="28"/>
        </w:rPr>
        <w:t xml:space="preserve">Formation réservée aux orthophonistes, 25 participants </w:t>
      </w:r>
    </w:p>
    <w:p w:rsidR="00793522" w:rsidRDefault="00793522" w:rsidP="00BC6FD9">
      <w:pPr>
        <w:pStyle w:val="Default"/>
        <w:rPr>
          <w:sz w:val="28"/>
          <w:szCs w:val="28"/>
        </w:rPr>
      </w:pPr>
    </w:p>
    <w:p w:rsidR="00793522" w:rsidRDefault="00793522" w:rsidP="00BC6FD9">
      <w:pPr>
        <w:pStyle w:val="Default"/>
        <w:rPr>
          <w:sz w:val="26"/>
          <w:szCs w:val="26"/>
        </w:rPr>
      </w:pPr>
      <w:r>
        <w:rPr>
          <w:b/>
          <w:bCs/>
          <w:i/>
          <w:iCs/>
          <w:sz w:val="26"/>
          <w:szCs w:val="26"/>
        </w:rPr>
        <w:t xml:space="preserve">Moyens d’encadrement et d’animation </w:t>
      </w:r>
      <w:r>
        <w:rPr>
          <w:i/>
          <w:iCs/>
          <w:sz w:val="26"/>
          <w:szCs w:val="26"/>
        </w:rPr>
        <w:t xml:space="preserve">: </w:t>
      </w:r>
    </w:p>
    <w:p w:rsidR="00793522" w:rsidRDefault="00793522" w:rsidP="00BC6FD9">
      <w:pPr>
        <w:pStyle w:val="Default"/>
        <w:rPr>
          <w:sz w:val="23"/>
          <w:szCs w:val="23"/>
        </w:rPr>
      </w:pPr>
      <w:r>
        <w:rPr>
          <w:i/>
          <w:iCs/>
          <w:sz w:val="23"/>
          <w:szCs w:val="23"/>
        </w:rPr>
        <w:t xml:space="preserve">Une représentante de SOLFormation sera présente : Sara Bragard-Reichling, Orthophoniste (sara.bragard@gmail.com - 03 87 55 94 34, 10 rue des Martyrs de la résistance, 57950 Montigny-Lès-Metz) </w:t>
      </w:r>
    </w:p>
    <w:p w:rsidR="00793522" w:rsidRDefault="00793522" w:rsidP="00BC6FD9">
      <w:pPr>
        <w:pStyle w:val="Default"/>
        <w:rPr>
          <w:i/>
          <w:iCs/>
          <w:sz w:val="23"/>
          <w:szCs w:val="23"/>
        </w:rPr>
      </w:pPr>
      <w:r>
        <w:rPr>
          <w:i/>
          <w:iCs/>
          <w:sz w:val="23"/>
          <w:szCs w:val="23"/>
        </w:rPr>
        <w:t xml:space="preserve">Elle sera chargée des relations avec les stagiaires et pourra être contactée pour toute demande de renseignements concernant ce stage. </w:t>
      </w:r>
    </w:p>
    <w:p w:rsidR="00793522" w:rsidRDefault="00793522" w:rsidP="00BC6FD9">
      <w:pPr>
        <w:pStyle w:val="Default"/>
        <w:rPr>
          <w:sz w:val="23"/>
          <w:szCs w:val="23"/>
        </w:rPr>
      </w:pPr>
    </w:p>
    <w:p w:rsidR="00793522" w:rsidRDefault="00793522" w:rsidP="00BC6FD9">
      <w:pPr>
        <w:pStyle w:val="Default"/>
        <w:rPr>
          <w:i/>
          <w:iCs/>
          <w:sz w:val="23"/>
          <w:szCs w:val="23"/>
        </w:rPr>
      </w:pPr>
      <w:r>
        <w:rPr>
          <w:b/>
          <w:bCs/>
          <w:i/>
          <w:iCs/>
          <w:sz w:val="26"/>
          <w:szCs w:val="26"/>
        </w:rPr>
        <w:t xml:space="preserve">Moyens de suivre l’exécution du programme </w:t>
      </w:r>
      <w:r>
        <w:rPr>
          <w:sz w:val="23"/>
          <w:szCs w:val="23"/>
        </w:rPr>
        <w:t xml:space="preserve">: </w:t>
      </w:r>
      <w:r>
        <w:rPr>
          <w:i/>
          <w:iCs/>
          <w:sz w:val="23"/>
          <w:szCs w:val="23"/>
        </w:rPr>
        <w:t xml:space="preserve">une feuille d’émargement sera signée à chaque demi-journée. </w:t>
      </w:r>
    </w:p>
    <w:p w:rsidR="00793522" w:rsidRDefault="00793522" w:rsidP="00BC6FD9">
      <w:pPr>
        <w:pStyle w:val="Default"/>
        <w:rPr>
          <w:sz w:val="23"/>
          <w:szCs w:val="23"/>
        </w:rPr>
      </w:pPr>
    </w:p>
    <w:p w:rsidR="00793522" w:rsidRDefault="00793522" w:rsidP="00BC6FD9">
      <w:pPr>
        <w:pStyle w:val="Default"/>
        <w:rPr>
          <w:sz w:val="26"/>
          <w:szCs w:val="26"/>
        </w:rPr>
      </w:pPr>
      <w:r>
        <w:rPr>
          <w:b/>
          <w:bCs/>
          <w:i/>
          <w:iCs/>
          <w:sz w:val="26"/>
          <w:szCs w:val="26"/>
        </w:rPr>
        <w:t xml:space="preserve">Modalités d’évaluation des acquis de connaissances : </w:t>
      </w:r>
    </w:p>
    <w:p w:rsidR="00793522" w:rsidRDefault="00793522" w:rsidP="00BC6FD9">
      <w:pPr>
        <w:pStyle w:val="Default"/>
        <w:rPr>
          <w:i/>
          <w:iCs/>
          <w:sz w:val="23"/>
          <w:szCs w:val="23"/>
        </w:rPr>
      </w:pPr>
      <w:r>
        <w:rPr>
          <w:i/>
          <w:iCs/>
          <w:sz w:val="23"/>
          <w:szCs w:val="23"/>
        </w:rPr>
        <w:t xml:space="preserve">Un </w:t>
      </w:r>
      <w:r w:rsidRPr="00BC6FD9">
        <w:rPr>
          <w:iCs/>
          <w:sz w:val="23"/>
          <w:szCs w:val="23"/>
        </w:rPr>
        <w:t>questionnaire</w:t>
      </w:r>
      <w:r>
        <w:rPr>
          <w:i/>
          <w:iCs/>
          <w:sz w:val="23"/>
          <w:szCs w:val="23"/>
        </w:rPr>
        <w:t xml:space="preserve"> de connaissances sera remis aux participants à la fin du 2° jour. </w:t>
      </w:r>
    </w:p>
    <w:p w:rsidR="00793522" w:rsidRDefault="00793522" w:rsidP="00BC6FD9">
      <w:pPr>
        <w:pStyle w:val="Default"/>
        <w:rPr>
          <w:sz w:val="23"/>
          <w:szCs w:val="23"/>
        </w:rPr>
      </w:pPr>
    </w:p>
    <w:p w:rsidR="00793522" w:rsidRDefault="00793522" w:rsidP="00BC6FD9">
      <w:pPr>
        <w:pStyle w:val="Default"/>
        <w:rPr>
          <w:b/>
          <w:bCs/>
          <w:i/>
          <w:iCs/>
          <w:sz w:val="26"/>
          <w:szCs w:val="26"/>
        </w:rPr>
      </w:pPr>
      <w:r>
        <w:rPr>
          <w:b/>
          <w:bCs/>
          <w:i/>
          <w:iCs/>
          <w:sz w:val="26"/>
          <w:szCs w:val="26"/>
        </w:rPr>
        <w:t>Contexte :</w:t>
      </w:r>
    </w:p>
    <w:p w:rsidR="00793522" w:rsidRPr="00D558CD" w:rsidRDefault="00793522" w:rsidP="00BC6FD9">
      <w:pPr>
        <w:pStyle w:val="Default"/>
        <w:rPr>
          <w:bCs/>
          <w:iCs/>
          <w:sz w:val="22"/>
          <w:szCs w:val="22"/>
        </w:rPr>
      </w:pPr>
      <w:r>
        <w:rPr>
          <w:bCs/>
          <w:iCs/>
          <w:sz w:val="22"/>
          <w:szCs w:val="22"/>
        </w:rPr>
        <w:t>Les dernières recherches dans ce domaine ont conclu que de 11% à 25% des enfants tout-venant présentent des troubles de l’oralité alimentaire. Avec le sommeil, c’est le sujet qui revient le plus souvent lors de la consultation pédiatrique. Ce pourcentage atteint les 80% en présence de handicap, quel qu’il soit. La présence d’un trouble de l’oralité alimentaire a un impact sur le développement des praxies buccales, l’entrée dans la parole et le langage ainsi que sur la socialisation du jeune enfant. C’est vers l’orthophoniste que se tournent les parents démunis. Or, bon nombre d’orthophonistes n’ont pas bénéficié de formation dans ce domaine durant leurs études et ne sentent pas assez informés pour assurer une prise en charge efficace.</w:t>
      </w:r>
    </w:p>
    <w:p w:rsidR="00793522" w:rsidRDefault="00793522" w:rsidP="00BC6FD9">
      <w:pPr>
        <w:pStyle w:val="Default"/>
        <w:rPr>
          <w:b/>
          <w:i/>
          <w:sz w:val="26"/>
          <w:szCs w:val="26"/>
        </w:rPr>
      </w:pPr>
      <w:r w:rsidRPr="004656D8">
        <w:rPr>
          <w:b/>
          <w:i/>
          <w:sz w:val="26"/>
          <w:szCs w:val="26"/>
        </w:rPr>
        <w:t>Objectifs de la formation :</w:t>
      </w:r>
    </w:p>
    <w:p w:rsidR="00793522" w:rsidRPr="004656D8" w:rsidRDefault="00793522" w:rsidP="00BC6FD9">
      <w:pPr>
        <w:pStyle w:val="Default"/>
        <w:rPr>
          <w:b/>
          <w:i/>
          <w:sz w:val="26"/>
          <w:szCs w:val="26"/>
        </w:rPr>
      </w:pPr>
    </w:p>
    <w:p w:rsidR="00793522" w:rsidRDefault="00793522" w:rsidP="00BC6FD9">
      <w:pPr>
        <w:pStyle w:val="Default"/>
        <w:rPr>
          <w:sz w:val="22"/>
          <w:szCs w:val="22"/>
        </w:rPr>
      </w:pPr>
      <w:r>
        <w:rPr>
          <w:sz w:val="22"/>
          <w:szCs w:val="22"/>
        </w:rPr>
        <w:t>Cette Formation a pour objectif de permettre au praticien de répertorier, d’évaluer et d’élaborer une intervention orthophonique dans le cadre de troubles de l’oralité alimentaire chez le jeune enfant en partenariat avec les parents.</w:t>
      </w:r>
    </w:p>
    <w:p w:rsidR="00793522" w:rsidRDefault="00793522" w:rsidP="00BC6FD9">
      <w:pPr>
        <w:pStyle w:val="Default"/>
        <w:rPr>
          <w:sz w:val="22"/>
          <w:szCs w:val="22"/>
        </w:rPr>
      </w:pPr>
    </w:p>
    <w:p w:rsidR="00793522" w:rsidRDefault="00793522" w:rsidP="00102923">
      <w:pPr>
        <w:pStyle w:val="Default"/>
        <w:numPr>
          <w:ilvl w:val="0"/>
          <w:numId w:val="7"/>
        </w:numPr>
        <w:rPr>
          <w:sz w:val="22"/>
          <w:szCs w:val="22"/>
        </w:rPr>
      </w:pPr>
      <w:r>
        <w:rPr>
          <w:sz w:val="22"/>
          <w:szCs w:val="22"/>
        </w:rPr>
        <w:t>Répertorier les troubles de l’oralité alimentaire chez l’enfant tout venant mais aussi ceux en lien avec une pathologie en se basant sur les apports théoriques sur ce sujet, à l’étranger et en France.</w:t>
      </w:r>
    </w:p>
    <w:p w:rsidR="00793522" w:rsidRDefault="00793522" w:rsidP="00102923">
      <w:pPr>
        <w:pStyle w:val="Default"/>
        <w:numPr>
          <w:ilvl w:val="0"/>
          <w:numId w:val="7"/>
        </w:numPr>
        <w:rPr>
          <w:sz w:val="22"/>
          <w:szCs w:val="22"/>
        </w:rPr>
      </w:pPr>
      <w:r>
        <w:rPr>
          <w:sz w:val="22"/>
          <w:szCs w:val="22"/>
        </w:rPr>
        <w:t>Etablir un diagnostique différentiel entre trouble de l’oralité avéré et néophobie alimentaire.</w:t>
      </w:r>
    </w:p>
    <w:p w:rsidR="00793522" w:rsidRDefault="00793522" w:rsidP="00102923">
      <w:pPr>
        <w:pStyle w:val="Default"/>
        <w:numPr>
          <w:ilvl w:val="0"/>
          <w:numId w:val="7"/>
        </w:numPr>
        <w:rPr>
          <w:sz w:val="22"/>
          <w:szCs w:val="22"/>
        </w:rPr>
      </w:pPr>
      <w:r>
        <w:rPr>
          <w:sz w:val="22"/>
          <w:szCs w:val="22"/>
        </w:rPr>
        <w:t>Evaluer les difficultés rencontrées à l’aide d’une anamnèse adaptée et du bilan des praxies bucco-faciales et de la déglutition.</w:t>
      </w:r>
    </w:p>
    <w:p w:rsidR="00793522" w:rsidRDefault="00793522" w:rsidP="00102923">
      <w:pPr>
        <w:pStyle w:val="Default"/>
        <w:numPr>
          <w:ilvl w:val="0"/>
          <w:numId w:val="7"/>
        </w:numPr>
        <w:rPr>
          <w:sz w:val="22"/>
          <w:szCs w:val="22"/>
        </w:rPr>
      </w:pPr>
      <w:r>
        <w:rPr>
          <w:sz w:val="22"/>
          <w:szCs w:val="22"/>
        </w:rPr>
        <w:t>Etablir un projet de prise en charge en lien avec les parents et l’entourage immédiat de l’enfant.</w:t>
      </w:r>
    </w:p>
    <w:p w:rsidR="00793522" w:rsidRDefault="00793522" w:rsidP="00102923">
      <w:pPr>
        <w:pStyle w:val="Default"/>
        <w:numPr>
          <w:ilvl w:val="0"/>
          <w:numId w:val="7"/>
        </w:numPr>
        <w:rPr>
          <w:sz w:val="22"/>
          <w:szCs w:val="22"/>
        </w:rPr>
      </w:pPr>
      <w:r>
        <w:rPr>
          <w:sz w:val="22"/>
          <w:szCs w:val="22"/>
        </w:rPr>
        <w:t>Découvrir les outils adaptés et intégrer les gestes de stimulation.</w:t>
      </w:r>
    </w:p>
    <w:p w:rsidR="00793522" w:rsidRDefault="00793522" w:rsidP="00BC6FD9">
      <w:pPr>
        <w:pStyle w:val="Default"/>
        <w:rPr>
          <w:color w:val="auto"/>
          <w:sz w:val="22"/>
          <w:szCs w:val="22"/>
        </w:rPr>
      </w:pPr>
    </w:p>
    <w:p w:rsidR="00793522" w:rsidRDefault="00793522" w:rsidP="00BC6FD9">
      <w:pPr>
        <w:pStyle w:val="Default"/>
        <w:rPr>
          <w:b/>
          <w:bCs/>
          <w:i/>
          <w:iCs/>
          <w:color w:val="auto"/>
          <w:sz w:val="26"/>
          <w:szCs w:val="26"/>
        </w:rPr>
      </w:pPr>
      <w:r>
        <w:rPr>
          <w:b/>
          <w:bCs/>
          <w:i/>
          <w:iCs/>
          <w:color w:val="auto"/>
          <w:sz w:val="26"/>
          <w:szCs w:val="26"/>
        </w:rPr>
        <w:t xml:space="preserve">Moyens pédagogiques : </w:t>
      </w:r>
    </w:p>
    <w:p w:rsidR="00793522" w:rsidRDefault="00793522" w:rsidP="00BC6FD9">
      <w:pPr>
        <w:pStyle w:val="Default"/>
        <w:rPr>
          <w:b/>
          <w:bCs/>
          <w:i/>
          <w:iCs/>
          <w:color w:val="auto"/>
          <w:sz w:val="26"/>
          <w:szCs w:val="26"/>
        </w:rPr>
      </w:pPr>
    </w:p>
    <w:p w:rsidR="00793522" w:rsidRDefault="00793522" w:rsidP="008C767E">
      <w:pPr>
        <w:pStyle w:val="Default"/>
        <w:numPr>
          <w:ilvl w:val="0"/>
          <w:numId w:val="10"/>
        </w:numPr>
        <w:rPr>
          <w:bCs/>
          <w:iCs/>
          <w:color w:val="auto"/>
          <w:sz w:val="22"/>
          <w:szCs w:val="22"/>
        </w:rPr>
      </w:pPr>
      <w:r>
        <w:rPr>
          <w:bCs/>
          <w:iCs/>
          <w:color w:val="auto"/>
          <w:sz w:val="22"/>
          <w:szCs w:val="22"/>
        </w:rPr>
        <w:t>Discussions et mise en commun,</w:t>
      </w:r>
    </w:p>
    <w:p w:rsidR="00793522" w:rsidRDefault="00793522" w:rsidP="008C767E">
      <w:pPr>
        <w:pStyle w:val="Default"/>
        <w:numPr>
          <w:ilvl w:val="0"/>
          <w:numId w:val="10"/>
        </w:numPr>
        <w:rPr>
          <w:bCs/>
          <w:iCs/>
          <w:color w:val="auto"/>
          <w:sz w:val="22"/>
          <w:szCs w:val="22"/>
        </w:rPr>
      </w:pPr>
      <w:r>
        <w:rPr>
          <w:bCs/>
          <w:iCs/>
          <w:color w:val="auto"/>
          <w:sz w:val="22"/>
          <w:szCs w:val="22"/>
        </w:rPr>
        <w:t>Mises en situation,</w:t>
      </w:r>
    </w:p>
    <w:p w:rsidR="00793522" w:rsidRDefault="00793522" w:rsidP="008C767E">
      <w:pPr>
        <w:pStyle w:val="Default"/>
        <w:numPr>
          <w:ilvl w:val="0"/>
          <w:numId w:val="10"/>
        </w:numPr>
        <w:rPr>
          <w:bCs/>
          <w:iCs/>
          <w:color w:val="auto"/>
          <w:sz w:val="22"/>
          <w:szCs w:val="22"/>
        </w:rPr>
      </w:pPr>
      <w:r>
        <w:rPr>
          <w:bCs/>
          <w:iCs/>
          <w:color w:val="auto"/>
          <w:sz w:val="22"/>
          <w:szCs w:val="22"/>
        </w:rPr>
        <w:t>Vidéos illustrant les différents troubles rencontrés,</w:t>
      </w:r>
    </w:p>
    <w:p w:rsidR="00793522" w:rsidRDefault="00793522" w:rsidP="008C767E">
      <w:pPr>
        <w:pStyle w:val="Default"/>
        <w:numPr>
          <w:ilvl w:val="0"/>
          <w:numId w:val="10"/>
        </w:numPr>
        <w:rPr>
          <w:bCs/>
          <w:iCs/>
          <w:color w:val="auto"/>
          <w:sz w:val="22"/>
          <w:szCs w:val="22"/>
        </w:rPr>
      </w:pPr>
      <w:r>
        <w:rPr>
          <w:bCs/>
          <w:iCs/>
          <w:color w:val="auto"/>
          <w:sz w:val="22"/>
          <w:szCs w:val="22"/>
        </w:rPr>
        <w:t>L’anamnèse,</w:t>
      </w:r>
    </w:p>
    <w:p w:rsidR="00793522" w:rsidRDefault="00793522" w:rsidP="008C767E">
      <w:pPr>
        <w:pStyle w:val="Default"/>
        <w:numPr>
          <w:ilvl w:val="0"/>
          <w:numId w:val="10"/>
        </w:numPr>
        <w:rPr>
          <w:bCs/>
          <w:iCs/>
          <w:color w:val="auto"/>
          <w:sz w:val="22"/>
          <w:szCs w:val="22"/>
        </w:rPr>
      </w:pPr>
      <w:r>
        <w:rPr>
          <w:bCs/>
          <w:iCs/>
          <w:color w:val="auto"/>
          <w:sz w:val="22"/>
          <w:szCs w:val="22"/>
        </w:rPr>
        <w:t>Le bilan et les protocoles utilisés,</w:t>
      </w:r>
    </w:p>
    <w:p w:rsidR="00793522" w:rsidRDefault="00793522" w:rsidP="008C767E">
      <w:pPr>
        <w:pStyle w:val="Default"/>
        <w:numPr>
          <w:ilvl w:val="0"/>
          <w:numId w:val="10"/>
        </w:numPr>
        <w:rPr>
          <w:bCs/>
          <w:iCs/>
          <w:color w:val="auto"/>
          <w:sz w:val="22"/>
          <w:szCs w:val="22"/>
        </w:rPr>
      </w:pPr>
      <w:r>
        <w:rPr>
          <w:bCs/>
          <w:iCs/>
          <w:color w:val="auto"/>
          <w:sz w:val="22"/>
          <w:szCs w:val="22"/>
        </w:rPr>
        <w:t>La mise en pratique en binôme des gestes de stimulation préconisés.</w:t>
      </w:r>
    </w:p>
    <w:p w:rsidR="00793522" w:rsidRDefault="00793522" w:rsidP="00BC6FD9">
      <w:pPr>
        <w:pStyle w:val="Default"/>
        <w:rPr>
          <w:bCs/>
          <w:iCs/>
          <w:color w:val="auto"/>
          <w:sz w:val="22"/>
          <w:szCs w:val="22"/>
        </w:rPr>
      </w:pPr>
    </w:p>
    <w:p w:rsidR="00793522" w:rsidRDefault="00793522" w:rsidP="00BC6FD9">
      <w:pPr>
        <w:pStyle w:val="Default"/>
        <w:rPr>
          <w:b/>
          <w:bCs/>
          <w:i/>
          <w:iCs/>
          <w:color w:val="auto"/>
          <w:sz w:val="26"/>
          <w:szCs w:val="26"/>
        </w:rPr>
      </w:pPr>
      <w:r w:rsidRPr="008C767E">
        <w:rPr>
          <w:b/>
          <w:bCs/>
          <w:i/>
          <w:iCs/>
          <w:color w:val="auto"/>
          <w:sz w:val="26"/>
          <w:szCs w:val="26"/>
        </w:rPr>
        <w:t>Auxiliaires pédagogiques</w:t>
      </w:r>
      <w:r>
        <w:rPr>
          <w:b/>
          <w:bCs/>
          <w:i/>
          <w:iCs/>
          <w:color w:val="auto"/>
          <w:sz w:val="26"/>
          <w:szCs w:val="26"/>
        </w:rPr>
        <w:t> :</w:t>
      </w:r>
    </w:p>
    <w:p w:rsidR="00793522" w:rsidRDefault="00793522" w:rsidP="00BC6FD9">
      <w:pPr>
        <w:pStyle w:val="Default"/>
        <w:rPr>
          <w:b/>
          <w:bCs/>
          <w:i/>
          <w:iCs/>
          <w:color w:val="auto"/>
          <w:sz w:val="26"/>
          <w:szCs w:val="26"/>
        </w:rPr>
      </w:pPr>
    </w:p>
    <w:p w:rsidR="00793522" w:rsidRDefault="00793522" w:rsidP="008C767E">
      <w:pPr>
        <w:pStyle w:val="Default"/>
        <w:numPr>
          <w:ilvl w:val="0"/>
          <w:numId w:val="9"/>
        </w:numPr>
        <w:rPr>
          <w:bCs/>
          <w:iCs/>
          <w:color w:val="auto"/>
          <w:sz w:val="22"/>
          <w:szCs w:val="22"/>
        </w:rPr>
      </w:pPr>
      <w:r>
        <w:rPr>
          <w:bCs/>
          <w:iCs/>
          <w:color w:val="auto"/>
          <w:sz w:val="22"/>
          <w:szCs w:val="22"/>
        </w:rPr>
        <w:t>Power Point</w:t>
      </w:r>
    </w:p>
    <w:p w:rsidR="00793522" w:rsidRDefault="00793522" w:rsidP="008C767E">
      <w:pPr>
        <w:pStyle w:val="Default"/>
        <w:numPr>
          <w:ilvl w:val="0"/>
          <w:numId w:val="9"/>
        </w:numPr>
        <w:rPr>
          <w:bCs/>
          <w:iCs/>
          <w:color w:val="auto"/>
          <w:sz w:val="22"/>
          <w:szCs w:val="22"/>
        </w:rPr>
      </w:pPr>
      <w:r>
        <w:rPr>
          <w:bCs/>
          <w:iCs/>
          <w:color w:val="auto"/>
          <w:sz w:val="22"/>
          <w:szCs w:val="22"/>
        </w:rPr>
        <w:t>Supports écrits</w:t>
      </w:r>
    </w:p>
    <w:p w:rsidR="00793522" w:rsidRDefault="00793522" w:rsidP="008C767E">
      <w:pPr>
        <w:pStyle w:val="Default"/>
        <w:numPr>
          <w:ilvl w:val="0"/>
          <w:numId w:val="9"/>
        </w:numPr>
        <w:rPr>
          <w:bCs/>
          <w:iCs/>
          <w:color w:val="auto"/>
          <w:sz w:val="22"/>
          <w:szCs w:val="22"/>
        </w:rPr>
      </w:pPr>
      <w:r>
        <w:rPr>
          <w:bCs/>
          <w:iCs/>
          <w:color w:val="auto"/>
          <w:sz w:val="22"/>
          <w:szCs w:val="22"/>
        </w:rPr>
        <w:t>Courts métrages et vidéos</w:t>
      </w:r>
    </w:p>
    <w:p w:rsidR="00793522" w:rsidRPr="008C767E" w:rsidRDefault="00793522" w:rsidP="008C767E">
      <w:pPr>
        <w:pStyle w:val="Default"/>
        <w:numPr>
          <w:ilvl w:val="0"/>
          <w:numId w:val="9"/>
        </w:numPr>
        <w:rPr>
          <w:bCs/>
          <w:iCs/>
          <w:color w:val="auto"/>
          <w:sz w:val="22"/>
          <w:szCs w:val="22"/>
        </w:rPr>
      </w:pPr>
      <w:r>
        <w:rPr>
          <w:bCs/>
          <w:iCs/>
          <w:color w:val="auto"/>
          <w:sz w:val="22"/>
          <w:szCs w:val="22"/>
        </w:rPr>
        <w:t>Matériel de stimulation</w:t>
      </w:r>
    </w:p>
    <w:p w:rsidR="00793522" w:rsidRDefault="00793522" w:rsidP="00BC6FD9">
      <w:pPr>
        <w:pStyle w:val="Default"/>
        <w:rPr>
          <w:color w:val="auto"/>
          <w:sz w:val="22"/>
          <w:szCs w:val="22"/>
        </w:rPr>
      </w:pPr>
    </w:p>
    <w:p w:rsidR="00793522" w:rsidRDefault="00793522" w:rsidP="00BC6FD9">
      <w:pPr>
        <w:pStyle w:val="Default"/>
        <w:rPr>
          <w:b/>
          <w:bCs/>
          <w:color w:val="auto"/>
          <w:sz w:val="26"/>
          <w:szCs w:val="26"/>
        </w:rPr>
      </w:pPr>
      <w:r w:rsidRPr="008C767E">
        <w:rPr>
          <w:b/>
          <w:bCs/>
          <w:i/>
          <w:color w:val="auto"/>
          <w:sz w:val="26"/>
          <w:szCs w:val="26"/>
        </w:rPr>
        <w:t>PROGRAMME</w:t>
      </w:r>
      <w:r w:rsidRPr="008C767E">
        <w:rPr>
          <w:b/>
          <w:bCs/>
          <w:color w:val="auto"/>
          <w:sz w:val="26"/>
          <w:szCs w:val="26"/>
        </w:rPr>
        <w:t xml:space="preserve"> : </w:t>
      </w:r>
    </w:p>
    <w:p w:rsidR="00793522" w:rsidRDefault="00793522" w:rsidP="00BC6FD9">
      <w:pPr>
        <w:pStyle w:val="Default"/>
        <w:rPr>
          <w:b/>
          <w:bCs/>
          <w:color w:val="auto"/>
          <w:sz w:val="26"/>
          <w:szCs w:val="26"/>
        </w:rPr>
      </w:pPr>
    </w:p>
    <w:p w:rsidR="00793522" w:rsidRPr="00C32D4D" w:rsidRDefault="00793522" w:rsidP="00C32D4D">
      <w:pPr>
        <w:pStyle w:val="Default"/>
        <w:numPr>
          <w:ilvl w:val="0"/>
          <w:numId w:val="11"/>
        </w:numPr>
        <w:rPr>
          <w:bCs/>
          <w:color w:val="auto"/>
          <w:sz w:val="22"/>
          <w:szCs w:val="22"/>
        </w:rPr>
      </w:pPr>
      <w:r w:rsidRPr="00C32D4D">
        <w:rPr>
          <w:bCs/>
          <w:color w:val="auto"/>
          <w:sz w:val="22"/>
          <w:szCs w:val="22"/>
        </w:rPr>
        <w:t>Définition des troubles de l’oralité alimentaire chez l’enfant</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Les pathologies qui peuvent y être associées</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L’impact sur le développement de l’enfant, sur les liens tissés avec la famille, sur l’entrée à la crèche ou à l’école et sur la socialisation de l’enfant.</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Les causes des refus alimentaires.</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L’importance du rôle des parents et de l’accompagnement parental.</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Comment conduire l’anamnèse, le point de départ du partenariat avec les parents.</w:t>
      </w:r>
    </w:p>
    <w:p w:rsidR="00793522" w:rsidRPr="00C32D4D" w:rsidRDefault="00793522" w:rsidP="00C32D4D">
      <w:pPr>
        <w:pStyle w:val="Default"/>
        <w:numPr>
          <w:ilvl w:val="0"/>
          <w:numId w:val="11"/>
        </w:numPr>
        <w:rPr>
          <w:bCs/>
          <w:color w:val="auto"/>
          <w:sz w:val="22"/>
          <w:szCs w:val="22"/>
        </w:rPr>
      </w:pPr>
      <w:r w:rsidRPr="00C32D4D">
        <w:rPr>
          <w:bCs/>
          <w:color w:val="auto"/>
          <w:sz w:val="22"/>
          <w:szCs w:val="22"/>
        </w:rPr>
        <w:t>L’évaluation de l’enfant au cours de la prise du repas et en dehors de la prise alimentaire.</w:t>
      </w:r>
    </w:p>
    <w:p w:rsidR="00793522" w:rsidRPr="00C32D4D" w:rsidRDefault="00793522" w:rsidP="00C32D4D">
      <w:pPr>
        <w:pStyle w:val="Default"/>
        <w:numPr>
          <w:ilvl w:val="0"/>
          <w:numId w:val="11"/>
        </w:numPr>
        <w:rPr>
          <w:b/>
          <w:bCs/>
          <w:color w:val="auto"/>
          <w:sz w:val="22"/>
          <w:szCs w:val="22"/>
        </w:rPr>
      </w:pPr>
      <w:r w:rsidRPr="00C32D4D">
        <w:rPr>
          <w:bCs/>
          <w:color w:val="auto"/>
          <w:sz w:val="22"/>
          <w:szCs w:val="22"/>
        </w:rPr>
        <w:t>La définition des axes de la prise en charge orthophonique et la mise en pratique des gestes de stimulation.</w:t>
      </w:r>
    </w:p>
    <w:p w:rsidR="00793522" w:rsidRPr="00C32D4D" w:rsidRDefault="00793522" w:rsidP="00BC6FD9">
      <w:pPr>
        <w:pStyle w:val="Default"/>
        <w:rPr>
          <w:color w:val="auto"/>
          <w:sz w:val="22"/>
          <w:szCs w:val="22"/>
        </w:rPr>
      </w:pPr>
    </w:p>
    <w:sectPr w:rsidR="00793522" w:rsidRPr="00C32D4D" w:rsidSect="00632C1D">
      <w:headerReference w:type="default" r:id="rId7"/>
      <w:footerReference w:type="default" r:id="rId8"/>
      <w:pgSz w:w="11900" w:h="16840"/>
      <w:pgMar w:top="2238" w:right="1418" w:bottom="1701" w:left="1418" w:header="284" w:footer="3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522" w:rsidRDefault="00793522" w:rsidP="00A64F94">
      <w:r>
        <w:separator/>
      </w:r>
    </w:p>
  </w:endnote>
  <w:endnote w:type="continuationSeparator" w:id="0">
    <w:p w:rsidR="00793522" w:rsidRDefault="00793522" w:rsidP="00A64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522" w:rsidRDefault="00793522" w:rsidP="00167450">
    <w:pPr>
      <w:pStyle w:val="Footer"/>
      <w:jc w:val="center"/>
    </w:pPr>
    <w:r w:rsidRPr="003A065A">
      <w:rPr>
        <w:b/>
        <w:sz w:val="22"/>
        <w:szCs w:val="22"/>
      </w:rPr>
      <w:t xml:space="preserve">SOLFormation </w:t>
    </w:r>
    <w:r>
      <w:rPr>
        <w:b/>
        <w:sz w:val="22"/>
        <w:szCs w:val="22"/>
      </w:rPr>
      <w:t xml:space="preserve">- </w:t>
    </w:r>
    <w:r w:rsidRPr="00940889">
      <w:t>SAS au capital de 500€</w:t>
    </w:r>
    <w:r>
      <w:t xml:space="preserve"> - - </w:t>
    </w:r>
    <w:r w:rsidRPr="00940889">
      <w:t>SIRET 7</w:t>
    </w:r>
    <w:r>
      <w:t>94 148 148 00016 - RCS EPINAL</w:t>
    </w:r>
  </w:p>
  <w:p w:rsidR="00793522" w:rsidRPr="00340239" w:rsidRDefault="00793522" w:rsidP="00A376AD">
    <w:pPr>
      <w:pStyle w:val="Footer"/>
      <w:jc w:val="center"/>
    </w:pPr>
    <w:r w:rsidRPr="00E6383B">
      <w:rPr>
        <w:sz w:val="22"/>
      </w:rPr>
      <w:t>72 rue d’Alsace</w:t>
    </w:r>
    <w:r>
      <w:rPr>
        <w:sz w:val="22"/>
      </w:rPr>
      <w:t xml:space="preserve"> - </w:t>
    </w:r>
    <w:r w:rsidRPr="00E6383B">
      <w:rPr>
        <w:sz w:val="22"/>
      </w:rPr>
      <w:t>T</w:t>
    </w:r>
    <w:r>
      <w:rPr>
        <w:sz w:val="22"/>
      </w:rPr>
      <w:t>haon</w:t>
    </w:r>
    <w:r w:rsidRPr="00E6383B">
      <w:rPr>
        <w:sz w:val="22"/>
      </w:rPr>
      <w:t>-Les-Vosges</w:t>
    </w:r>
    <w:r>
      <w:rPr>
        <w:sz w:val="22"/>
      </w:rPr>
      <w:t xml:space="preserve"> - F </w:t>
    </w:r>
    <w:r w:rsidRPr="00E6383B">
      <w:rPr>
        <w:sz w:val="22"/>
      </w:rPr>
      <w:t xml:space="preserve">88150 </w:t>
    </w:r>
    <w:r>
      <w:rPr>
        <w:sz w:val="22"/>
      </w:rPr>
      <w:t xml:space="preserve">CAPAVENIR VOSGES - </w:t>
    </w:r>
    <w:r w:rsidRPr="00E6383B">
      <w:rPr>
        <w:sz w:val="22"/>
      </w:rPr>
      <w:t>03 29 37 23 85</w:t>
    </w:r>
    <w:r>
      <w:rPr>
        <w:sz w:val="22"/>
      </w:rPr>
      <w:t xml:space="preserve"> - </w:t>
    </w:r>
    <w:hyperlink r:id="rId1" w:history="1">
      <w:r w:rsidRPr="00340239">
        <w:rPr>
          <w:rStyle w:val="Hyperlink"/>
          <w:sz w:val="22"/>
          <w:szCs w:val="22"/>
        </w:rPr>
        <w:t>solf.formation@gmail.com</w:t>
      </w:r>
    </w:hyperlink>
  </w:p>
  <w:p w:rsidR="00793522" w:rsidRPr="00A376AD" w:rsidRDefault="00793522" w:rsidP="00A376AD">
    <w:pPr>
      <w:pStyle w:val="Footer"/>
      <w:jc w:val="center"/>
    </w:pPr>
    <w:r w:rsidRPr="00940889">
      <w:t xml:space="preserve">Déclaration d’activité enregistrée sous le N° </w:t>
    </w:r>
    <w:r w:rsidRPr="00C03F53">
      <w:rPr>
        <w:sz w:val="18"/>
      </w:rPr>
      <w:t>41 88 01204 88</w:t>
    </w:r>
    <w:r w:rsidRPr="00940889">
      <w:t>. Cet enregistrement ne vaut pas agrément de d’Etat.</w:t>
    </w:r>
  </w:p>
  <w:p w:rsidR="00793522" w:rsidRDefault="00793522" w:rsidP="008A3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522" w:rsidRDefault="00793522" w:rsidP="00A64F94">
      <w:r>
        <w:separator/>
      </w:r>
    </w:p>
  </w:footnote>
  <w:footnote w:type="continuationSeparator" w:id="0">
    <w:p w:rsidR="00793522" w:rsidRDefault="00793522" w:rsidP="00A64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522" w:rsidRDefault="00793522" w:rsidP="008412CA">
    <w:pPr>
      <w:pStyle w:val="Header"/>
      <w:ind w:left="-993"/>
      <w:rPr>
        <w:noProof/>
        <w:lang w:eastAsia="fr-FR"/>
      </w:rPr>
    </w:pPr>
  </w:p>
  <w:p w:rsidR="00793522" w:rsidRDefault="00793522" w:rsidP="008412CA">
    <w:pPr>
      <w:pStyle w:val="Header"/>
      <w:ind w:left="-993"/>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alt="0 logo SOLF jpeg.jpeg" style="width:182.25pt;height:7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67F"/>
    <w:multiLevelType w:val="hybridMultilevel"/>
    <w:tmpl w:val="0928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B84DD6"/>
    <w:multiLevelType w:val="hybridMultilevel"/>
    <w:tmpl w:val="BB44A134"/>
    <w:lvl w:ilvl="0" w:tplc="954617F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540587"/>
    <w:multiLevelType w:val="hybridMultilevel"/>
    <w:tmpl w:val="FD8A3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E1181A"/>
    <w:multiLevelType w:val="hybridMultilevel"/>
    <w:tmpl w:val="90300242"/>
    <w:lvl w:ilvl="0" w:tplc="954617F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336DA2"/>
    <w:multiLevelType w:val="hybridMultilevel"/>
    <w:tmpl w:val="B31017CE"/>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DE07E0D"/>
    <w:multiLevelType w:val="hybridMultilevel"/>
    <w:tmpl w:val="0102F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177A80"/>
    <w:multiLevelType w:val="hybridMultilevel"/>
    <w:tmpl w:val="83D4FE12"/>
    <w:lvl w:ilvl="0" w:tplc="954617F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8B5444"/>
    <w:multiLevelType w:val="hybridMultilevel"/>
    <w:tmpl w:val="E7648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ED1941"/>
    <w:multiLevelType w:val="hybridMultilevel"/>
    <w:tmpl w:val="3EAE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7E1E70"/>
    <w:multiLevelType w:val="hybridMultilevel"/>
    <w:tmpl w:val="E6EC8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525370"/>
    <w:multiLevelType w:val="hybridMultilevel"/>
    <w:tmpl w:val="908CDA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5"/>
  </w:num>
  <w:num w:numId="4">
    <w:abstractNumId w:val="2"/>
  </w:num>
  <w:num w:numId="5">
    <w:abstractNumId w:val="8"/>
  </w:num>
  <w:num w:numId="6">
    <w:abstractNumId w:val="9"/>
  </w:num>
  <w:num w:numId="7">
    <w:abstractNumId w:val="3"/>
  </w:num>
  <w:num w:numId="8">
    <w:abstractNumId w:val="6"/>
  </w:num>
  <w:num w:numId="9">
    <w:abstractNumId w:val="7"/>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437"/>
    <w:rsid w:val="00073BAE"/>
    <w:rsid w:val="00102923"/>
    <w:rsid w:val="001031BC"/>
    <w:rsid w:val="00114C29"/>
    <w:rsid w:val="0013344E"/>
    <w:rsid w:val="00133A85"/>
    <w:rsid w:val="00167450"/>
    <w:rsid w:val="001B06AE"/>
    <w:rsid w:val="001D6807"/>
    <w:rsid w:val="001E5437"/>
    <w:rsid w:val="0021511B"/>
    <w:rsid w:val="00340239"/>
    <w:rsid w:val="003617F9"/>
    <w:rsid w:val="003A065A"/>
    <w:rsid w:val="003D3BFD"/>
    <w:rsid w:val="00413E5A"/>
    <w:rsid w:val="004656D8"/>
    <w:rsid w:val="00474E83"/>
    <w:rsid w:val="00490E3E"/>
    <w:rsid w:val="004B5046"/>
    <w:rsid w:val="004B567F"/>
    <w:rsid w:val="00525050"/>
    <w:rsid w:val="005623BF"/>
    <w:rsid w:val="00567609"/>
    <w:rsid w:val="005871D3"/>
    <w:rsid w:val="005C42E0"/>
    <w:rsid w:val="005D073C"/>
    <w:rsid w:val="005E493B"/>
    <w:rsid w:val="00632C1D"/>
    <w:rsid w:val="00635743"/>
    <w:rsid w:val="00640734"/>
    <w:rsid w:val="0065421D"/>
    <w:rsid w:val="0079230F"/>
    <w:rsid w:val="00793522"/>
    <w:rsid w:val="007D06D6"/>
    <w:rsid w:val="008208C8"/>
    <w:rsid w:val="008412CA"/>
    <w:rsid w:val="00857697"/>
    <w:rsid w:val="008A3D56"/>
    <w:rsid w:val="008C767E"/>
    <w:rsid w:val="008D24A6"/>
    <w:rsid w:val="008E5FE4"/>
    <w:rsid w:val="0092102A"/>
    <w:rsid w:val="00940889"/>
    <w:rsid w:val="0094288A"/>
    <w:rsid w:val="00962659"/>
    <w:rsid w:val="00A26889"/>
    <w:rsid w:val="00A376AD"/>
    <w:rsid w:val="00A4340E"/>
    <w:rsid w:val="00A64F94"/>
    <w:rsid w:val="00B44E9A"/>
    <w:rsid w:val="00BA3DE2"/>
    <w:rsid w:val="00BC6FD9"/>
    <w:rsid w:val="00BF5D43"/>
    <w:rsid w:val="00C03F53"/>
    <w:rsid w:val="00C32D4D"/>
    <w:rsid w:val="00C37B3B"/>
    <w:rsid w:val="00C64EAD"/>
    <w:rsid w:val="00C90A8C"/>
    <w:rsid w:val="00C96667"/>
    <w:rsid w:val="00CA3EE8"/>
    <w:rsid w:val="00CA47A7"/>
    <w:rsid w:val="00CB4653"/>
    <w:rsid w:val="00CB7584"/>
    <w:rsid w:val="00D52AED"/>
    <w:rsid w:val="00D558CD"/>
    <w:rsid w:val="00DC728E"/>
    <w:rsid w:val="00DD12B0"/>
    <w:rsid w:val="00E0380E"/>
    <w:rsid w:val="00E11557"/>
    <w:rsid w:val="00E124B2"/>
    <w:rsid w:val="00E53BFE"/>
    <w:rsid w:val="00E53C42"/>
    <w:rsid w:val="00E6383B"/>
    <w:rsid w:val="00E9609E"/>
    <w:rsid w:val="00EC1CAA"/>
    <w:rsid w:val="00ED6468"/>
    <w:rsid w:val="00F13EAE"/>
    <w:rsid w:val="00F840A7"/>
    <w:rsid w:val="00FD203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0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12CA"/>
    <w:pPr>
      <w:tabs>
        <w:tab w:val="center" w:pos="4536"/>
        <w:tab w:val="right" w:pos="9072"/>
      </w:tabs>
    </w:pPr>
  </w:style>
  <w:style w:type="character" w:customStyle="1" w:styleId="HeaderChar">
    <w:name w:val="Header Char"/>
    <w:basedOn w:val="DefaultParagraphFont"/>
    <w:link w:val="Header"/>
    <w:uiPriority w:val="99"/>
    <w:locked/>
    <w:rsid w:val="008412CA"/>
    <w:rPr>
      <w:rFonts w:cs="Times New Roman"/>
    </w:rPr>
  </w:style>
  <w:style w:type="paragraph" w:styleId="Footer">
    <w:name w:val="footer"/>
    <w:basedOn w:val="Normal"/>
    <w:link w:val="FooterChar"/>
    <w:uiPriority w:val="99"/>
    <w:rsid w:val="008A3D56"/>
    <w:pPr>
      <w:tabs>
        <w:tab w:val="center" w:pos="4536"/>
        <w:tab w:val="right" w:pos="9072"/>
      </w:tabs>
      <w:ind w:left="-851"/>
    </w:pPr>
    <w:rPr>
      <w:rFonts w:ascii="Calibri" w:hAnsi="Calibri"/>
      <w:sz w:val="16"/>
      <w:szCs w:val="18"/>
    </w:rPr>
  </w:style>
  <w:style w:type="character" w:customStyle="1" w:styleId="FooterChar">
    <w:name w:val="Footer Char"/>
    <w:basedOn w:val="DefaultParagraphFont"/>
    <w:link w:val="Footer"/>
    <w:uiPriority w:val="99"/>
    <w:locked/>
    <w:rsid w:val="008A3D56"/>
    <w:rPr>
      <w:rFonts w:ascii="Calibri" w:hAnsi="Calibri" w:cs="Times New Roman"/>
      <w:sz w:val="18"/>
      <w:szCs w:val="18"/>
      <w:lang w:eastAsia="en-US"/>
    </w:rPr>
  </w:style>
  <w:style w:type="paragraph" w:styleId="BalloonText">
    <w:name w:val="Balloon Text"/>
    <w:basedOn w:val="Normal"/>
    <w:link w:val="BalloonTextChar"/>
    <w:uiPriority w:val="99"/>
    <w:semiHidden/>
    <w:rsid w:val="006357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5743"/>
    <w:rPr>
      <w:rFonts w:ascii="Tahoma" w:hAnsi="Tahoma" w:cs="Tahoma"/>
      <w:sz w:val="16"/>
      <w:szCs w:val="16"/>
    </w:rPr>
  </w:style>
  <w:style w:type="character" w:styleId="Hyperlink">
    <w:name w:val="Hyperlink"/>
    <w:basedOn w:val="DefaultParagraphFont"/>
    <w:uiPriority w:val="99"/>
    <w:rsid w:val="00635743"/>
    <w:rPr>
      <w:rFonts w:cs="Times New Roman"/>
      <w:color w:val="0000FF"/>
      <w:u w:val="single"/>
    </w:rPr>
  </w:style>
  <w:style w:type="paragraph" w:styleId="NoSpacing">
    <w:name w:val="No Spacing"/>
    <w:link w:val="NoSpacingChar"/>
    <w:uiPriority w:val="99"/>
    <w:qFormat/>
    <w:rsid w:val="00635743"/>
    <w:rPr>
      <w:rFonts w:eastAsia="Times New Roman"/>
      <w:lang w:eastAsia="en-US"/>
    </w:rPr>
  </w:style>
  <w:style w:type="character" w:customStyle="1" w:styleId="NoSpacingChar">
    <w:name w:val="No Spacing Char"/>
    <w:basedOn w:val="DefaultParagraphFont"/>
    <w:link w:val="NoSpacing"/>
    <w:uiPriority w:val="99"/>
    <w:locked/>
    <w:rsid w:val="00635743"/>
    <w:rPr>
      <w:rFonts w:eastAsia="Times New Roman" w:cs="Times New Roman"/>
      <w:sz w:val="22"/>
      <w:szCs w:val="22"/>
      <w:lang w:val="fr-FR" w:eastAsia="en-US" w:bidi="ar-SA"/>
    </w:rPr>
  </w:style>
  <w:style w:type="paragraph" w:styleId="ListParagraph">
    <w:name w:val="List Paragraph"/>
    <w:basedOn w:val="Normal"/>
    <w:uiPriority w:val="99"/>
    <w:qFormat/>
    <w:rsid w:val="0094288A"/>
    <w:pPr>
      <w:spacing w:after="200" w:line="276" w:lineRule="auto"/>
      <w:ind w:left="720"/>
      <w:contextualSpacing/>
    </w:pPr>
    <w:rPr>
      <w:rFonts w:ascii="Calibri" w:hAnsi="Calibri"/>
      <w:sz w:val="22"/>
      <w:szCs w:val="22"/>
    </w:rPr>
  </w:style>
  <w:style w:type="paragraph" w:customStyle="1" w:styleId="Default">
    <w:name w:val="Default"/>
    <w:uiPriority w:val="99"/>
    <w:rsid w:val="00BC6FD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olf.forma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575</Words>
  <Characters>3163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Personnel</dc:creator>
  <cp:keywords/>
  <dc:description/>
  <cp:lastModifiedBy>Sara Bragard</cp:lastModifiedBy>
  <cp:revision>5</cp:revision>
  <cp:lastPrinted>2013-10-22T15:33:00Z</cp:lastPrinted>
  <dcterms:created xsi:type="dcterms:W3CDTF">2016-10-03T20:29:00Z</dcterms:created>
  <dcterms:modified xsi:type="dcterms:W3CDTF">2016-12-14T16:45:00Z</dcterms:modified>
</cp:coreProperties>
</file>